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3D37" w14:textId="3A68C9A7" w:rsidR="00EB1B8D" w:rsidRPr="0049512B" w:rsidRDefault="00EB1B8D" w:rsidP="00554DB5">
      <w:pPr>
        <w:pStyle w:val="CPClassification"/>
        <w:tabs>
          <w:tab w:val="clear" w:pos="2160"/>
          <w:tab w:val="center" w:pos="2880"/>
        </w:tabs>
        <w:ind w:left="0"/>
        <w:jc w:val="left"/>
        <w:rPr>
          <w:szCs w:val="22"/>
          <w:lang w:val="es-ES"/>
        </w:rPr>
      </w:pPr>
      <w:r w:rsidRPr="0049512B">
        <w:rPr>
          <w:szCs w:val="22"/>
          <w:lang w:val="es-ES"/>
        </w:rPr>
        <w:tab/>
        <w:t>CONSEJO PERMANENTE DE LA</w:t>
      </w:r>
      <w:r w:rsidRPr="0049512B">
        <w:rPr>
          <w:szCs w:val="22"/>
          <w:lang w:val="es-ES"/>
        </w:rPr>
        <w:tab/>
      </w:r>
      <w:r w:rsidR="00E15736" w:rsidRPr="006D5093">
        <w:rPr>
          <w:sz w:val="24"/>
          <w:lang w:val="pt-BR"/>
        </w:rPr>
        <w:t>OEA/Ser.</w:t>
      </w:r>
      <w:r w:rsidR="00E15736" w:rsidRPr="006D5093">
        <w:rPr>
          <w:lang w:val="pt-BR"/>
        </w:rPr>
        <w:t>K/XXXIV</w:t>
      </w:r>
      <w:r w:rsidR="00E15736" w:rsidRPr="0049512B">
        <w:rPr>
          <w:szCs w:val="22"/>
          <w:lang w:val="es-ES"/>
        </w:rPr>
        <w:t xml:space="preserve"> </w:t>
      </w:r>
    </w:p>
    <w:p w14:paraId="388C36EE" w14:textId="0F629672" w:rsidR="00EB1B8D" w:rsidRPr="0049512B" w:rsidRDefault="00EB1B8D" w:rsidP="00554DB5">
      <w:pPr>
        <w:pStyle w:val="Header"/>
        <w:tabs>
          <w:tab w:val="clear" w:pos="9360"/>
          <w:tab w:val="center" w:pos="2880"/>
          <w:tab w:val="left" w:pos="7200"/>
        </w:tabs>
        <w:ind w:left="7200" w:right="-1472" w:hanging="7200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sz w:val="22"/>
          <w:szCs w:val="22"/>
        </w:rPr>
        <w:tab/>
        <w:t>ORGANIZACIÓN DE LOS ESTADOS AMERICANOS</w:t>
      </w:r>
      <w:r w:rsidRPr="0049512B">
        <w:rPr>
          <w:rFonts w:ascii="Times New Roman" w:hAnsi="Times New Roman"/>
          <w:sz w:val="22"/>
          <w:szCs w:val="22"/>
        </w:rPr>
        <w:tab/>
      </w:r>
      <w:r w:rsidR="00E15736" w:rsidRPr="006D5093">
        <w:rPr>
          <w:rFonts w:ascii="Times New Roman" w:hAnsi="Times New Roman"/>
          <w:lang w:val="pt-BR"/>
        </w:rPr>
        <w:t>RANDOT-III/doc.3/21</w:t>
      </w:r>
      <w:r w:rsidR="0083423D">
        <w:rPr>
          <w:rFonts w:ascii="Times New Roman" w:hAnsi="Times New Roman"/>
          <w:lang w:val="pt-BR"/>
        </w:rPr>
        <w:t xml:space="preserve"> rev. 1</w:t>
      </w:r>
    </w:p>
    <w:p w14:paraId="76241B07" w14:textId="2A09D127" w:rsidR="00EB1B8D" w:rsidRPr="0049512B" w:rsidRDefault="00EB1B8D" w:rsidP="00852040">
      <w:pPr>
        <w:pStyle w:val="Header"/>
        <w:tabs>
          <w:tab w:val="center" w:pos="2880"/>
          <w:tab w:val="left" w:pos="7200"/>
        </w:tabs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sz w:val="22"/>
          <w:szCs w:val="22"/>
        </w:rPr>
        <w:tab/>
      </w:r>
      <w:r w:rsidRPr="0049512B">
        <w:rPr>
          <w:rFonts w:ascii="Times New Roman" w:hAnsi="Times New Roman"/>
          <w:sz w:val="22"/>
          <w:szCs w:val="22"/>
        </w:rPr>
        <w:tab/>
      </w:r>
      <w:r w:rsidRPr="0049512B">
        <w:rPr>
          <w:rFonts w:ascii="Times New Roman" w:hAnsi="Times New Roman"/>
          <w:sz w:val="22"/>
          <w:szCs w:val="22"/>
        </w:rPr>
        <w:tab/>
      </w:r>
      <w:r w:rsidR="00852040">
        <w:rPr>
          <w:rFonts w:ascii="Times New Roman" w:hAnsi="Times New Roman"/>
          <w:sz w:val="22"/>
          <w:szCs w:val="22"/>
        </w:rPr>
        <w:t>2</w:t>
      </w:r>
      <w:r w:rsidR="0083423D">
        <w:rPr>
          <w:rFonts w:ascii="Times New Roman" w:hAnsi="Times New Roman"/>
          <w:sz w:val="22"/>
          <w:szCs w:val="22"/>
        </w:rPr>
        <w:t>4</w:t>
      </w:r>
      <w:r w:rsidRPr="0049512B">
        <w:rPr>
          <w:rFonts w:ascii="Times New Roman" w:hAnsi="Times New Roman"/>
          <w:sz w:val="22"/>
          <w:szCs w:val="22"/>
        </w:rPr>
        <w:t xml:space="preserve"> </w:t>
      </w:r>
      <w:r w:rsidR="006F07BB" w:rsidRPr="0049512B">
        <w:rPr>
          <w:rFonts w:ascii="Times New Roman" w:hAnsi="Times New Roman"/>
          <w:sz w:val="22"/>
          <w:szCs w:val="22"/>
        </w:rPr>
        <w:t>junio</w:t>
      </w:r>
      <w:r w:rsidRPr="0049512B">
        <w:rPr>
          <w:rFonts w:ascii="Times New Roman" w:hAnsi="Times New Roman"/>
          <w:sz w:val="22"/>
          <w:szCs w:val="22"/>
        </w:rPr>
        <w:t xml:space="preserve"> 2021</w:t>
      </w:r>
    </w:p>
    <w:p w14:paraId="622DE230" w14:textId="77777777" w:rsidR="00EB1B8D" w:rsidRPr="0049512B" w:rsidRDefault="00EB1B8D" w:rsidP="00554DB5">
      <w:pPr>
        <w:pStyle w:val="Header"/>
        <w:tabs>
          <w:tab w:val="center" w:pos="2880"/>
          <w:tab w:val="left" w:pos="7200"/>
        </w:tabs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sz w:val="22"/>
          <w:szCs w:val="22"/>
        </w:rPr>
        <w:tab/>
        <w:t>COMISIÓN DE SEGURIDAD HEMISFÉRICA</w:t>
      </w:r>
      <w:r w:rsidRPr="0049512B">
        <w:rPr>
          <w:rFonts w:ascii="Times New Roman" w:hAnsi="Times New Roman"/>
          <w:sz w:val="22"/>
          <w:szCs w:val="22"/>
        </w:rPr>
        <w:tab/>
        <w:t>Original: inglés</w:t>
      </w:r>
    </w:p>
    <w:p w14:paraId="168CE660" w14:textId="77777777" w:rsidR="00F77D14" w:rsidRDefault="00F77D14" w:rsidP="00EB1B8D">
      <w:pPr>
        <w:jc w:val="center"/>
        <w:rPr>
          <w:rFonts w:ascii="Times New Roman" w:hAnsi="Times New Roman"/>
          <w:sz w:val="22"/>
          <w:szCs w:val="22"/>
        </w:rPr>
      </w:pPr>
    </w:p>
    <w:p w14:paraId="5B891EDF" w14:textId="26BFA35C" w:rsidR="00F02120" w:rsidRDefault="00F02120" w:rsidP="00E15736">
      <w:pPr>
        <w:rPr>
          <w:rFonts w:ascii="Times New Roman" w:hAnsi="Times New Roman"/>
          <w:sz w:val="22"/>
          <w:szCs w:val="22"/>
        </w:rPr>
      </w:pPr>
    </w:p>
    <w:p w14:paraId="67C207B0" w14:textId="77777777" w:rsidR="00E15736" w:rsidRPr="00C779E7" w:rsidRDefault="00E15736" w:rsidP="00E15736">
      <w:pPr>
        <w:jc w:val="both"/>
        <w:outlineLvl w:val="0"/>
        <w:rPr>
          <w:rFonts w:ascii="Times New Roman" w:hAnsi="Times New Roman"/>
          <w:sz w:val="22"/>
          <w:szCs w:val="22"/>
          <w:u w:val="single"/>
          <w:lang w:val="es-MX"/>
        </w:rPr>
      </w:pPr>
      <w:r w:rsidRPr="00C779E7">
        <w:rPr>
          <w:rFonts w:ascii="Times New Roman" w:hAnsi="Times New Roman"/>
          <w:sz w:val="22"/>
          <w:szCs w:val="22"/>
          <w:u w:val="single"/>
          <w:lang w:val="es-MX"/>
        </w:rPr>
        <w:t>Tercera Reunión de Autoridades Nacionales</w:t>
      </w:r>
    </w:p>
    <w:p w14:paraId="19ADE73F" w14:textId="77777777" w:rsidR="00E15736" w:rsidRDefault="00E15736" w:rsidP="00E15736">
      <w:pPr>
        <w:jc w:val="both"/>
        <w:outlineLvl w:val="0"/>
        <w:rPr>
          <w:rFonts w:ascii="Times New Roman" w:hAnsi="Times New Roman"/>
          <w:sz w:val="22"/>
          <w:szCs w:val="22"/>
          <w:lang w:val="es-MX"/>
        </w:rPr>
      </w:pPr>
      <w:r w:rsidRPr="00C779E7">
        <w:rPr>
          <w:rFonts w:ascii="Times New Roman" w:hAnsi="Times New Roman"/>
          <w:sz w:val="22"/>
          <w:szCs w:val="22"/>
          <w:u w:val="single"/>
          <w:lang w:val="es-MX"/>
        </w:rPr>
        <w:t xml:space="preserve">en Materia de Delincuencia Organizada </w:t>
      </w:r>
      <w:proofErr w:type="spellStart"/>
      <w:r w:rsidRPr="00C779E7">
        <w:rPr>
          <w:rFonts w:ascii="Times New Roman" w:hAnsi="Times New Roman"/>
          <w:sz w:val="22"/>
          <w:szCs w:val="22"/>
          <w:u w:val="single"/>
          <w:lang w:val="es-MX"/>
        </w:rPr>
        <w:t>Translacional</w:t>
      </w:r>
      <w:proofErr w:type="spellEnd"/>
      <w:r w:rsidRPr="00C779E7">
        <w:rPr>
          <w:rFonts w:ascii="Times New Roman" w:hAnsi="Times New Roman"/>
          <w:sz w:val="22"/>
          <w:szCs w:val="22"/>
          <w:u w:val="single"/>
          <w:lang w:val="es-MX"/>
        </w:rPr>
        <w:t xml:space="preserve"> (</w:t>
      </w:r>
      <w:proofErr w:type="spellStart"/>
      <w:r w:rsidRPr="00C779E7">
        <w:rPr>
          <w:rFonts w:ascii="Times New Roman" w:hAnsi="Times New Roman"/>
          <w:sz w:val="22"/>
          <w:szCs w:val="22"/>
          <w:u w:val="single"/>
          <w:lang w:val="es-MX"/>
        </w:rPr>
        <w:t>RANDOT</w:t>
      </w:r>
      <w:proofErr w:type="spellEnd"/>
      <w:r w:rsidRPr="00C779E7">
        <w:rPr>
          <w:rFonts w:ascii="Times New Roman" w:hAnsi="Times New Roman"/>
          <w:sz w:val="22"/>
          <w:szCs w:val="22"/>
          <w:u w:val="single"/>
          <w:lang w:val="es-MX"/>
        </w:rPr>
        <w:t xml:space="preserve"> III)</w:t>
      </w:r>
    </w:p>
    <w:p w14:paraId="3F8D1C7A" w14:textId="77777777" w:rsidR="00E15736" w:rsidRDefault="00E15736" w:rsidP="00E15736">
      <w:pPr>
        <w:jc w:val="both"/>
        <w:outlineLvl w:val="0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23-24 de junio de 2021</w:t>
      </w:r>
    </w:p>
    <w:p w14:paraId="238A3DD4" w14:textId="77777777" w:rsidR="00E15736" w:rsidRDefault="00E15736" w:rsidP="00E15736">
      <w:pPr>
        <w:jc w:val="both"/>
        <w:outlineLvl w:val="0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Virtual</w:t>
      </w:r>
    </w:p>
    <w:p w14:paraId="20EAB8D8" w14:textId="77777777" w:rsidR="00E15736" w:rsidRDefault="00E15736" w:rsidP="00E15736">
      <w:pPr>
        <w:rPr>
          <w:rFonts w:ascii="Times New Roman" w:hAnsi="Times New Roman"/>
          <w:sz w:val="22"/>
          <w:szCs w:val="22"/>
        </w:rPr>
      </w:pPr>
    </w:p>
    <w:p w14:paraId="54CBBFE7" w14:textId="77777777" w:rsidR="00F02120" w:rsidRDefault="00F02120" w:rsidP="00EB1B8D">
      <w:pPr>
        <w:jc w:val="center"/>
        <w:rPr>
          <w:rFonts w:ascii="Times New Roman" w:hAnsi="Times New Roman"/>
          <w:sz w:val="22"/>
          <w:szCs w:val="22"/>
        </w:rPr>
      </w:pPr>
    </w:p>
    <w:p w14:paraId="672DF600" w14:textId="66E425CB" w:rsidR="00EB1B8D" w:rsidRPr="0049512B" w:rsidRDefault="00EB1B8D" w:rsidP="00EB1B8D">
      <w:pPr>
        <w:jc w:val="center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sz w:val="22"/>
          <w:szCs w:val="22"/>
        </w:rPr>
        <w:t>INDICADORES PARA LA IMPLEMENTACIÓN DEL PLAN DE ACCIÓN HEMISFÉRICO</w:t>
      </w:r>
    </w:p>
    <w:p w14:paraId="69435668" w14:textId="77777777" w:rsidR="00EB1B8D" w:rsidRPr="0049512B" w:rsidRDefault="00EB1B8D" w:rsidP="00EB1B8D">
      <w:pPr>
        <w:jc w:val="center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sz w:val="22"/>
          <w:szCs w:val="22"/>
        </w:rPr>
        <w:t xml:space="preserve"> CONTRA LA DELINCUENCIA ORGANIZADA TRANSNACIONAL</w:t>
      </w:r>
    </w:p>
    <w:p w14:paraId="5756D003" w14:textId="77777777" w:rsidR="00EB1B8D" w:rsidRPr="0049512B" w:rsidRDefault="00EB1B8D" w:rsidP="00554DB5">
      <w:pPr>
        <w:rPr>
          <w:rFonts w:ascii="Times New Roman" w:hAnsi="Times New Roman"/>
          <w:sz w:val="22"/>
          <w:szCs w:val="22"/>
        </w:rPr>
      </w:pPr>
    </w:p>
    <w:p w14:paraId="23BF0C83" w14:textId="5ABF6CCC" w:rsidR="00852040" w:rsidRPr="00BC4FE6" w:rsidRDefault="00852040" w:rsidP="00852040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(A</w:t>
      </w:r>
      <w:r w:rsidR="0083423D">
        <w:rPr>
          <w:rFonts w:ascii="Times New Roman" w:hAnsi="Times New Roman"/>
        </w:rPr>
        <w:t xml:space="preserve">probados por </w:t>
      </w: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RANDOT</w:t>
      </w:r>
      <w:proofErr w:type="spellEnd"/>
      <w:r>
        <w:rPr>
          <w:rFonts w:ascii="Times New Roman" w:hAnsi="Times New Roman"/>
        </w:rPr>
        <w:t xml:space="preserve"> III</w:t>
      </w:r>
      <w:r w:rsidR="0083423D">
        <w:rPr>
          <w:rFonts w:ascii="Times New Roman" w:hAnsi="Times New Roman"/>
        </w:rPr>
        <w:t xml:space="preserve"> el 24 de junio de 2021</w:t>
      </w:r>
      <w:r>
        <w:rPr>
          <w:rFonts w:ascii="Times New Roman" w:hAnsi="Times New Roman"/>
        </w:rPr>
        <w:t>)</w:t>
      </w:r>
    </w:p>
    <w:p w14:paraId="760A73D2" w14:textId="77777777" w:rsidR="00554DB5" w:rsidRPr="0049512B" w:rsidRDefault="00554DB5" w:rsidP="00554DB5">
      <w:pPr>
        <w:pStyle w:val="Header"/>
        <w:tabs>
          <w:tab w:val="center" w:pos="288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</w:p>
    <w:p w14:paraId="1BB52CE1" w14:textId="1B15085D" w:rsidR="00EB1B8D" w:rsidRPr="0049512B" w:rsidRDefault="00EB1B8D" w:rsidP="00554DB5">
      <w:pPr>
        <w:numPr>
          <w:ilvl w:val="0"/>
          <w:numId w:val="2"/>
        </w:numPr>
        <w:shd w:val="clear" w:color="auto" w:fill="FFFFFF"/>
        <w:tabs>
          <w:tab w:val="clear" w:pos="1800"/>
          <w:tab w:val="num" w:pos="1080"/>
        </w:tabs>
        <w:ind w:left="720" w:right="998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color w:val="000000"/>
          <w:sz w:val="22"/>
          <w:szCs w:val="22"/>
        </w:rPr>
        <w:t>VISIÓN</w:t>
      </w:r>
    </w:p>
    <w:p w14:paraId="10876B43" w14:textId="77777777" w:rsidR="00EB1B8D" w:rsidRPr="0049512B" w:rsidRDefault="00EB1B8D" w:rsidP="00554DB5">
      <w:pPr>
        <w:shd w:val="clear" w:color="auto" w:fill="FFFFFF"/>
        <w:ind w:right="998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62AB3AB" w14:textId="68C2895D" w:rsidR="00EB1B8D" w:rsidRPr="0049512B" w:rsidRDefault="0049512B" w:rsidP="004E2432">
      <w:pPr>
        <w:shd w:val="clear" w:color="auto" w:fill="FFFFFF"/>
        <w:ind w:right="11" w:firstLine="720"/>
        <w:jc w:val="both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color w:val="000000"/>
          <w:sz w:val="22"/>
          <w:szCs w:val="22"/>
        </w:rPr>
        <w:t>L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>os Miembros de la Organización de los Estados Americanos previenen</w:t>
      </w:r>
      <w:r w:rsidR="00EB1B8D" w:rsidRPr="0049512B">
        <w:rPr>
          <w:rFonts w:ascii="Times New Roman" w:hAnsi="Times New Roman"/>
          <w:sz w:val="22"/>
          <w:szCs w:val="22"/>
        </w:rPr>
        <w:t xml:space="preserve"> y combaten de manera exitosa la delincuencia organizada transnacional, con pleno respeto de los derechos humanos, tomando como marco de referencia la </w:t>
      </w:r>
      <w:r w:rsidR="006F07BB" w:rsidRPr="0049512B">
        <w:rPr>
          <w:rFonts w:ascii="Times New Roman" w:hAnsi="Times New Roman"/>
          <w:sz w:val="22"/>
          <w:szCs w:val="22"/>
        </w:rPr>
        <w:t>Convención de las Naciones Unidas contra la Delincuencia Organizada Transnacional</w:t>
      </w:r>
      <w:r w:rsidRPr="0049512B">
        <w:rPr>
          <w:rFonts w:ascii="Times New Roman" w:hAnsi="Times New Roman"/>
          <w:sz w:val="22"/>
          <w:szCs w:val="22"/>
        </w:rPr>
        <w:t xml:space="preserve"> </w:t>
      </w:r>
      <w:r w:rsidR="00EB1B8D" w:rsidRPr="0049512B">
        <w:rPr>
          <w:rFonts w:ascii="Times New Roman" w:hAnsi="Times New Roman"/>
          <w:sz w:val="22"/>
          <w:szCs w:val="22"/>
        </w:rPr>
        <w:t xml:space="preserve">y sus tres protocolos. Ello se hará </w:t>
      </w:r>
      <w:r w:rsidR="007E2B75" w:rsidRPr="0049512B">
        <w:rPr>
          <w:rFonts w:ascii="Times New Roman" w:hAnsi="Times New Roman"/>
          <w:sz w:val="22"/>
          <w:szCs w:val="22"/>
        </w:rPr>
        <w:t>de acuerdo con</w:t>
      </w:r>
      <w:r w:rsidR="00EB1B8D" w:rsidRPr="0049512B">
        <w:rPr>
          <w:rFonts w:ascii="Times New Roman" w:hAnsi="Times New Roman"/>
          <w:sz w:val="22"/>
          <w:szCs w:val="22"/>
        </w:rPr>
        <w:t xml:space="preserve"> los principios de igualdad soberana e integridad territorial de los Estados y de no intervención en los asuntos internos de otros Estados.</w:t>
      </w:r>
    </w:p>
    <w:p w14:paraId="1F3B8828" w14:textId="77777777" w:rsidR="00EB1B8D" w:rsidRPr="0049512B" w:rsidRDefault="00EB1B8D" w:rsidP="00554DB5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9E322A0" w14:textId="77777777" w:rsidR="00EB1B8D" w:rsidRPr="0049512B" w:rsidRDefault="00EB1B8D" w:rsidP="00554DB5">
      <w:pPr>
        <w:pStyle w:val="ListParagraph"/>
        <w:numPr>
          <w:ilvl w:val="0"/>
          <w:numId w:val="2"/>
        </w:numPr>
        <w:shd w:val="clear" w:color="auto" w:fill="FFFFFF"/>
        <w:tabs>
          <w:tab w:val="clear" w:pos="1800"/>
          <w:tab w:val="num" w:pos="720"/>
        </w:tabs>
        <w:ind w:left="0" w:right="11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color w:val="000000"/>
          <w:sz w:val="22"/>
          <w:szCs w:val="22"/>
        </w:rPr>
        <w:t>OBJETIVOS GENERALES</w:t>
      </w:r>
    </w:p>
    <w:p w14:paraId="29B42187" w14:textId="77777777" w:rsidR="00EB1B8D" w:rsidRPr="0049512B" w:rsidRDefault="00EB1B8D" w:rsidP="00554DB5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E7703DE" w14:textId="77777777" w:rsidR="00EB1B8D" w:rsidRPr="0049512B" w:rsidRDefault="00EB1B8D" w:rsidP="00EB1B8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color w:val="000000"/>
          <w:sz w:val="22"/>
          <w:szCs w:val="22"/>
        </w:rPr>
        <w:t>Los objetivos generales del Plan de Acción Hemisférico consisten en instar a los Estados Miembros a:</w:t>
      </w:r>
    </w:p>
    <w:p w14:paraId="36DC54F5" w14:textId="77777777" w:rsidR="00EB1B8D" w:rsidRPr="0049512B" w:rsidRDefault="00EB1B8D" w:rsidP="00EB1B8D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B417D7" w14:textId="77777777" w:rsidR="00EB1B8D" w:rsidRPr="0049512B" w:rsidRDefault="00EB1B8D" w:rsidP="004E2432">
      <w:pPr>
        <w:numPr>
          <w:ilvl w:val="0"/>
          <w:numId w:val="3"/>
        </w:numPr>
        <w:shd w:val="clear" w:color="auto" w:fill="FFFFFF"/>
        <w:ind w:left="1440" w:hanging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color w:val="000000"/>
          <w:sz w:val="22"/>
          <w:szCs w:val="22"/>
        </w:rPr>
        <w:t>Profundizar la cooperación en materia de prevención, investigación, procesamiento y actuaciones judiciales relacionadas con actos de delincuencia organizada transnacional.</w:t>
      </w:r>
    </w:p>
    <w:p w14:paraId="41036EF8" w14:textId="1CC1900B" w:rsidR="00EB1B8D" w:rsidRPr="0049512B" w:rsidRDefault="0049512B" w:rsidP="004E2432">
      <w:pPr>
        <w:shd w:val="clear" w:color="auto" w:fill="FFFFFF"/>
        <w:ind w:left="1440"/>
        <w:jc w:val="both"/>
        <w:rPr>
          <w:rFonts w:ascii="Times New Roman" w:hAnsi="Times New Roman"/>
          <w:color w:val="000000"/>
          <w:sz w:val="22"/>
          <w:szCs w:val="22"/>
        </w:rPr>
      </w:pPr>
      <w:r w:rsidRPr="00856D8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I</w:t>
      </w:r>
      <w:r w:rsidR="00EB1B8D" w:rsidRPr="00856D8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>: número de investigaciones</w:t>
      </w:r>
      <w:r w:rsidR="006F07BB" w:rsidRPr="0049512B">
        <w:rPr>
          <w:rFonts w:ascii="Times New Roman" w:hAnsi="Times New Roman"/>
          <w:color w:val="000000"/>
          <w:sz w:val="22"/>
          <w:szCs w:val="22"/>
        </w:rPr>
        <w:t xml:space="preserve"> colaborativas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 xml:space="preserve"> que comprendan dos o más Estados Miembros de la OEA</w:t>
      </w:r>
      <w:r w:rsidR="00856D88">
        <w:rPr>
          <w:rFonts w:ascii="Times New Roman" w:hAnsi="Times New Roman"/>
          <w:color w:val="000000"/>
          <w:sz w:val="22"/>
          <w:szCs w:val="22"/>
        </w:rPr>
        <w:t>.</w:t>
      </w:r>
    </w:p>
    <w:p w14:paraId="3BC4EE18" w14:textId="420B96C9" w:rsidR="00EB1B8D" w:rsidRPr="0049512B" w:rsidRDefault="0049512B" w:rsidP="004E2432">
      <w:pPr>
        <w:shd w:val="clear" w:color="auto" w:fill="FFFFFF"/>
        <w:ind w:left="1440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 xml:space="preserve">: número de acuerdos formales sobre intercambio de </w:t>
      </w:r>
      <w:r w:rsidR="006F07BB" w:rsidRPr="0049512B">
        <w:rPr>
          <w:rFonts w:ascii="Times New Roman" w:hAnsi="Times New Roman"/>
          <w:color w:val="000000"/>
          <w:sz w:val="22"/>
          <w:szCs w:val="22"/>
        </w:rPr>
        <w:t>información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 xml:space="preserve"> entre Estados Miembros</w:t>
      </w:r>
    </w:p>
    <w:p w14:paraId="0CEEEBEF" w14:textId="77777777" w:rsidR="00EB1B8D" w:rsidRPr="0049512B" w:rsidRDefault="00EB1B8D" w:rsidP="00EB1B8D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4DDE1CD" w14:textId="77777777" w:rsidR="00EB1B8D" w:rsidRPr="0049512B" w:rsidRDefault="00EB1B8D" w:rsidP="004E2432">
      <w:pPr>
        <w:numPr>
          <w:ilvl w:val="0"/>
          <w:numId w:val="3"/>
        </w:numPr>
        <w:shd w:val="clear" w:color="auto" w:fill="FFFFFF"/>
        <w:ind w:left="1440" w:hanging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color w:val="000000"/>
          <w:sz w:val="22"/>
          <w:szCs w:val="22"/>
        </w:rPr>
        <w:t>Alentar la coordinación entre los respectivos órganos de la OEA con competencia en los temas vinculados con el combate de la delincuencia organizada transnacional, así como la cooperación entre éstos y la Oficina de las Naciones Unidas Contra la Droga y el Delito (</w:t>
      </w:r>
      <w:proofErr w:type="spellStart"/>
      <w:r w:rsidRPr="0049512B">
        <w:rPr>
          <w:rFonts w:ascii="Times New Roman" w:hAnsi="Times New Roman"/>
          <w:color w:val="000000"/>
          <w:sz w:val="22"/>
          <w:szCs w:val="22"/>
        </w:rPr>
        <w:t>ONUDD</w:t>
      </w:r>
      <w:proofErr w:type="spellEnd"/>
      <w:r w:rsidRPr="0049512B">
        <w:rPr>
          <w:rFonts w:ascii="Times New Roman" w:hAnsi="Times New Roman"/>
          <w:color w:val="000000"/>
          <w:sz w:val="22"/>
          <w:szCs w:val="22"/>
        </w:rPr>
        <w:t>).</w:t>
      </w:r>
    </w:p>
    <w:p w14:paraId="0F2C553C" w14:textId="63FD7F13" w:rsidR="00EB1B8D" w:rsidRPr="0049512B" w:rsidRDefault="0049512B" w:rsidP="004E2432">
      <w:pPr>
        <w:shd w:val="clear" w:color="auto" w:fill="FFFFFF"/>
        <w:ind w:left="144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71308492"/>
      <w:r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>: número de reuniones que comprendan uno o más organismos de la OEA encargados de temas relacionados con la lucha contra la delincuencia organizada transnacional</w:t>
      </w:r>
      <w:r w:rsidRPr="0049512B">
        <w:rPr>
          <w:rFonts w:ascii="Times New Roman" w:hAnsi="Times New Roman"/>
          <w:color w:val="000000"/>
          <w:sz w:val="22"/>
          <w:szCs w:val="22"/>
        </w:rPr>
        <w:t>.</w:t>
      </w:r>
    </w:p>
    <w:p w14:paraId="32CE9785" w14:textId="662CE83F" w:rsidR="00EB1B8D" w:rsidRPr="0049512B" w:rsidRDefault="0049512B" w:rsidP="004E2432">
      <w:pPr>
        <w:shd w:val="clear" w:color="auto" w:fill="FFFFFF"/>
        <w:ind w:left="1440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 xml:space="preserve">: número de reuniones que comprendan al menos un organismo de la OEA y </w:t>
      </w:r>
      <w:proofErr w:type="spellStart"/>
      <w:r w:rsidR="00EB1B8D" w:rsidRPr="0049512B">
        <w:rPr>
          <w:rFonts w:ascii="Times New Roman" w:hAnsi="Times New Roman"/>
          <w:color w:val="000000"/>
          <w:sz w:val="22"/>
          <w:szCs w:val="22"/>
        </w:rPr>
        <w:t>UNODC</w:t>
      </w:r>
      <w:proofErr w:type="spellEnd"/>
      <w:r w:rsidRPr="0049512B">
        <w:rPr>
          <w:rFonts w:ascii="Times New Roman" w:hAnsi="Times New Roman"/>
          <w:color w:val="000000"/>
          <w:sz w:val="22"/>
          <w:szCs w:val="22"/>
        </w:rPr>
        <w:t>.</w:t>
      </w:r>
    </w:p>
    <w:p w14:paraId="63D6932C" w14:textId="77777777" w:rsidR="0049512B" w:rsidRPr="0049512B" w:rsidRDefault="0049512B" w:rsidP="00EB1B8D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bookmarkEnd w:id="0"/>
    <w:p w14:paraId="637E082E" w14:textId="77777777" w:rsidR="00EB1B8D" w:rsidRPr="0049512B" w:rsidRDefault="00EB1B8D" w:rsidP="004E2432">
      <w:pPr>
        <w:numPr>
          <w:ilvl w:val="0"/>
          <w:numId w:val="3"/>
        </w:numPr>
        <w:shd w:val="clear" w:color="auto" w:fill="FFFFFF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color w:val="000000"/>
          <w:sz w:val="22"/>
          <w:szCs w:val="22"/>
        </w:rPr>
        <w:lastRenderedPageBreak/>
        <w:t xml:space="preserve">Fortalecer las capacidades y habilidades nacionales, subregionales y regionales para enfrentar la delincuencia organizada transnacional. </w:t>
      </w:r>
    </w:p>
    <w:p w14:paraId="750CB528" w14:textId="588F27A2" w:rsidR="00EB1B8D" w:rsidRPr="0049512B" w:rsidRDefault="0049512B" w:rsidP="004E2432">
      <w:pPr>
        <w:shd w:val="clear" w:color="auto" w:fill="FFFFFF"/>
        <w:ind w:left="1440"/>
        <w:jc w:val="both"/>
        <w:rPr>
          <w:rFonts w:ascii="Times New Roman" w:hAnsi="Times New Roman"/>
          <w:color w:val="000000"/>
          <w:sz w:val="22"/>
          <w:szCs w:val="22"/>
        </w:rPr>
      </w:pPr>
      <w:r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color w:val="000000"/>
          <w:sz w:val="22"/>
          <w:szCs w:val="22"/>
        </w:rPr>
        <w:t>: ¿Cuáles serían uno o dos aspectos específicos que querríamos que cambiaran en esta área?</w:t>
      </w:r>
    </w:p>
    <w:p w14:paraId="038EC7AE" w14:textId="77777777" w:rsidR="00EB1B8D" w:rsidRPr="0049512B" w:rsidRDefault="00EB1B8D" w:rsidP="00EB1B8D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78F1357" w14:textId="5196AEED" w:rsidR="00EB1B8D" w:rsidRPr="0049512B" w:rsidRDefault="0049512B" w:rsidP="004E2432">
      <w:pPr>
        <w:pStyle w:val="ListParagraph"/>
        <w:numPr>
          <w:ilvl w:val="0"/>
          <w:numId w:val="3"/>
        </w:numPr>
        <w:shd w:val="clear" w:color="auto" w:fill="FFFFFF"/>
        <w:snapToGrid w:val="0"/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sz w:val="22"/>
          <w:szCs w:val="22"/>
        </w:rPr>
        <w:t>M</w:t>
      </w:r>
      <w:r w:rsidR="00EB1B8D" w:rsidRPr="0049512B">
        <w:rPr>
          <w:rFonts w:ascii="Times New Roman" w:hAnsi="Times New Roman"/>
          <w:sz w:val="22"/>
          <w:szCs w:val="22"/>
        </w:rPr>
        <w:t>ejorar el intercambio de información mediante el fortalecimiento de la presentación de informes sobre marcos jurídicos, actividades y resultados relacionados con la lucha contra la delincuencia organizada transnacional</w:t>
      </w:r>
      <w:r w:rsidR="00856D88">
        <w:rPr>
          <w:rFonts w:ascii="Times New Roman" w:hAnsi="Times New Roman"/>
          <w:sz w:val="22"/>
          <w:szCs w:val="22"/>
        </w:rPr>
        <w:t>.</w:t>
      </w:r>
    </w:p>
    <w:p w14:paraId="66E59BC3" w14:textId="128A28FF" w:rsidR="00EB1B8D" w:rsidRPr="0049512B" w:rsidRDefault="0049512B" w:rsidP="004E2432">
      <w:pPr>
        <w:shd w:val="clear" w:color="auto" w:fill="FFFFFF"/>
        <w:snapToGri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i/>
          <w:iCs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sz w:val="22"/>
          <w:szCs w:val="22"/>
        </w:rPr>
        <w:t>: número de Estados Miembros de la OEA que publican leyes relacionadas con la delincuencia organizada transnacional en su (página web)</w:t>
      </w:r>
      <w:r w:rsidRPr="0049512B">
        <w:rPr>
          <w:rFonts w:ascii="Times New Roman" w:hAnsi="Times New Roman"/>
          <w:sz w:val="22"/>
          <w:szCs w:val="22"/>
        </w:rPr>
        <w:t>.</w:t>
      </w:r>
    </w:p>
    <w:p w14:paraId="119579A9" w14:textId="106E712C" w:rsidR="00EB1B8D" w:rsidRPr="0049512B" w:rsidRDefault="0049512B" w:rsidP="004E2432">
      <w:pPr>
        <w:shd w:val="clear" w:color="auto" w:fill="FFFFFF"/>
        <w:snapToGri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i/>
          <w:iCs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sz w:val="22"/>
          <w:szCs w:val="22"/>
        </w:rPr>
        <w:t>:  número de Estados Miembros de la OEA que informan sobre el número de investigaciones realizadas con relación a la delincuencia organizada transnacional</w:t>
      </w:r>
      <w:r w:rsidRPr="0049512B">
        <w:rPr>
          <w:rFonts w:ascii="Times New Roman" w:hAnsi="Times New Roman"/>
          <w:sz w:val="22"/>
          <w:szCs w:val="22"/>
        </w:rPr>
        <w:t>.</w:t>
      </w:r>
    </w:p>
    <w:p w14:paraId="54B10941" w14:textId="63AF5650" w:rsidR="0049512B" w:rsidRPr="0049512B" w:rsidRDefault="0049512B" w:rsidP="004E2432">
      <w:pPr>
        <w:shd w:val="clear" w:color="auto" w:fill="FFFFFF"/>
        <w:snapToGri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i/>
          <w:iCs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sz w:val="22"/>
          <w:szCs w:val="22"/>
        </w:rPr>
        <w:t>: número de Estados Miembros de la OEA que informan sobre el número de procesos judiciales realizados con relación a la delincuencia organizada transnacional</w:t>
      </w:r>
      <w:r w:rsidRPr="0049512B">
        <w:rPr>
          <w:rFonts w:ascii="Times New Roman" w:hAnsi="Times New Roman"/>
          <w:sz w:val="22"/>
          <w:szCs w:val="22"/>
        </w:rPr>
        <w:t>.</w:t>
      </w:r>
    </w:p>
    <w:p w14:paraId="0C121182" w14:textId="736886B7" w:rsidR="00EB1B8D" w:rsidRPr="0049512B" w:rsidRDefault="0049512B" w:rsidP="004E2432">
      <w:pPr>
        <w:shd w:val="clear" w:color="auto" w:fill="FFFFFF"/>
        <w:snapToGri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49512B">
        <w:rPr>
          <w:rFonts w:ascii="Times New Roman" w:hAnsi="Times New Roman"/>
          <w:i/>
          <w:iCs/>
          <w:sz w:val="22"/>
          <w:szCs w:val="22"/>
          <w:u w:val="single"/>
        </w:rPr>
        <w:t>I</w:t>
      </w:r>
      <w:r w:rsidR="00EB1B8D" w:rsidRPr="0049512B">
        <w:rPr>
          <w:rFonts w:ascii="Times New Roman" w:hAnsi="Times New Roman"/>
          <w:i/>
          <w:iCs/>
          <w:sz w:val="22"/>
          <w:szCs w:val="22"/>
          <w:u w:val="single"/>
        </w:rPr>
        <w:t>ndicador</w:t>
      </w:r>
      <w:r w:rsidR="00EB1B8D" w:rsidRPr="0049512B">
        <w:rPr>
          <w:rFonts w:ascii="Times New Roman" w:hAnsi="Times New Roman"/>
          <w:sz w:val="22"/>
          <w:szCs w:val="22"/>
        </w:rPr>
        <w:t xml:space="preserve">: número de Estados Miembros de la OEA que informan sobre el número de fallos </w:t>
      </w:r>
      <w:r w:rsidR="004E24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0522DA" wp14:editId="15571A48">
                <wp:simplePos x="0" y="0"/>
                <wp:positionH relativeFrom="column">
                  <wp:posOffset>-100965</wp:posOffset>
                </wp:positionH>
                <wp:positionV relativeFrom="page">
                  <wp:posOffset>9153525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1733CA" w14:textId="26E6505A" w:rsidR="004E2432" w:rsidRPr="004E2432" w:rsidRDefault="004E243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RA00354S04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2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95pt;margin-top:720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JqVuFd8A&#10;AAANAQAADwAAAAAAAAAAAAAAAADWBAAAZHJzL2Rvd25yZXYueG1sUEsFBgAAAAAEAAQA8wAAAOIF&#10;AAAAAA==&#10;" filled="f" stroked="f">
                <v:stroke joinstyle="round"/>
                <v:textbox>
                  <w:txbxContent>
                    <w:p w14:paraId="661733CA" w14:textId="26E6505A" w:rsidR="004E2432" w:rsidRPr="004E2432" w:rsidRDefault="004E243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RA00354S04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B1B8D" w:rsidRPr="0049512B" w:rsidSect="00D95F0C">
      <w:headerReference w:type="even" r:id="rId8"/>
      <w:headerReference w:type="default" r:id="rId9"/>
      <w:type w:val="oddPage"/>
      <w:pgSz w:w="12240" w:h="15840" w:code="1"/>
      <w:pgMar w:top="2160" w:right="1571" w:bottom="1298" w:left="1701" w:header="1298" w:footer="129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F51D" w14:textId="77777777" w:rsidR="00ED6E73" w:rsidRDefault="00ED6E73">
      <w:r>
        <w:separator/>
      </w:r>
    </w:p>
  </w:endnote>
  <w:endnote w:type="continuationSeparator" w:id="0">
    <w:p w14:paraId="173B1072" w14:textId="77777777" w:rsidR="00ED6E73" w:rsidRDefault="00ED6E73">
      <w:r>
        <w:continuationSeparator/>
      </w:r>
    </w:p>
  </w:endnote>
  <w:endnote w:type="continuationNotice" w:id="1">
    <w:p w14:paraId="2870198C" w14:textId="77777777" w:rsidR="00ED6E73" w:rsidRDefault="00ED6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0617" w14:textId="77777777" w:rsidR="00ED6E73" w:rsidRPr="00904320" w:rsidRDefault="00ED6E73" w:rsidP="00502269">
      <w:pPr>
        <w:rPr>
          <w:noProof/>
          <w:lang w:val="en-US"/>
        </w:rPr>
      </w:pPr>
      <w:r w:rsidRPr="00904320">
        <w:rPr>
          <w:noProof/>
          <w:lang w:val="en-US"/>
        </w:rPr>
        <w:separator/>
      </w:r>
    </w:p>
  </w:footnote>
  <w:footnote w:type="continuationSeparator" w:id="0">
    <w:p w14:paraId="17A2F0C5" w14:textId="77777777" w:rsidR="00ED6E73" w:rsidRPr="00904320" w:rsidRDefault="00ED6E73" w:rsidP="00502269">
      <w:pPr>
        <w:rPr>
          <w:noProof/>
          <w:lang w:val="en-US"/>
        </w:rPr>
      </w:pPr>
      <w:r w:rsidRPr="00904320">
        <w:rPr>
          <w:noProof/>
          <w:lang w:val="en-US"/>
        </w:rPr>
        <w:continuationSeparator/>
      </w:r>
    </w:p>
  </w:footnote>
  <w:footnote w:type="continuationNotice" w:id="1">
    <w:p w14:paraId="29FC2585" w14:textId="77777777" w:rsidR="00ED6E73" w:rsidRDefault="00ED6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643A" w14:textId="77777777" w:rsidR="00F6124C" w:rsidRPr="00904320" w:rsidRDefault="00F6124C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- </w:t>
    </w:r>
    <w:r w:rsidRPr="00904320">
      <w:rPr>
        <w:rFonts w:ascii="Times New Roman" w:hAnsi="Times New Roman"/>
        <w:sz w:val="22"/>
        <w:szCs w:val="22"/>
      </w:rPr>
      <w:fldChar w:fldCharType="begin"/>
    </w:r>
    <w:r w:rsidRPr="00904320">
      <w:rPr>
        <w:rFonts w:ascii="Times New Roman" w:hAnsi="Times New Roman"/>
        <w:sz w:val="22"/>
        <w:szCs w:val="22"/>
      </w:rPr>
      <w:instrText xml:space="preserve"> PAGE   \* MERGEFORMAT </w:instrText>
    </w:r>
    <w:r w:rsidRPr="00904320">
      <w:rPr>
        <w:rFonts w:ascii="Times New Roman" w:hAnsi="Times New Roman"/>
        <w:sz w:val="22"/>
        <w:szCs w:val="22"/>
      </w:rPr>
      <w:fldChar w:fldCharType="separate"/>
    </w:r>
    <w:r w:rsidR="00852040">
      <w:rPr>
        <w:rFonts w:ascii="Times New Roman" w:hAnsi="Times New Roman"/>
        <w:noProof/>
        <w:sz w:val="22"/>
        <w:szCs w:val="22"/>
      </w:rPr>
      <w:t>2</w:t>
    </w:r>
    <w:r w:rsidRPr="00904320"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-</w:t>
    </w:r>
  </w:p>
  <w:p w14:paraId="6DBCF323" w14:textId="77777777" w:rsidR="00F6124C" w:rsidRPr="00904320" w:rsidRDefault="00F6124C">
    <w:pPr>
      <w:pStyle w:val="Header"/>
      <w:rPr>
        <w:rFonts w:ascii="Times New Roman" w:hAnsi="Times New Roman"/>
        <w:noProof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454C" w14:textId="77777777" w:rsidR="00F6124C" w:rsidRPr="00904320" w:rsidRDefault="00F6124C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- </w:t>
    </w:r>
    <w:r w:rsidRPr="00904320">
      <w:rPr>
        <w:rFonts w:ascii="Times New Roman" w:hAnsi="Times New Roman"/>
        <w:sz w:val="22"/>
        <w:szCs w:val="22"/>
      </w:rPr>
      <w:fldChar w:fldCharType="begin"/>
    </w:r>
    <w:r w:rsidRPr="00904320">
      <w:rPr>
        <w:rFonts w:ascii="Times New Roman" w:hAnsi="Times New Roman"/>
        <w:sz w:val="22"/>
        <w:szCs w:val="22"/>
      </w:rPr>
      <w:instrText xml:space="preserve"> PAGE   \* MERGEFORMAT </w:instrText>
    </w:r>
    <w:r w:rsidRPr="00904320">
      <w:rPr>
        <w:rFonts w:ascii="Times New Roman" w:hAnsi="Times New Roman"/>
        <w:sz w:val="22"/>
        <w:szCs w:val="22"/>
      </w:rPr>
      <w:fldChar w:fldCharType="separate"/>
    </w:r>
    <w:r w:rsidR="00526DEF">
      <w:rPr>
        <w:rFonts w:ascii="Times New Roman" w:hAnsi="Times New Roman"/>
        <w:noProof/>
        <w:sz w:val="22"/>
        <w:szCs w:val="22"/>
      </w:rPr>
      <w:t>11</w:t>
    </w:r>
    <w:r w:rsidRPr="00904320"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-</w:t>
    </w:r>
  </w:p>
  <w:p w14:paraId="298B34E6" w14:textId="77777777" w:rsidR="00F6124C" w:rsidRPr="00904320" w:rsidRDefault="00F6124C">
    <w:pPr>
      <w:pStyle w:val="Header"/>
      <w:rPr>
        <w:rFonts w:ascii="Times New Roman" w:hAnsi="Times New Roman"/>
        <w:noProof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C20"/>
    <w:multiLevelType w:val="hybridMultilevel"/>
    <w:tmpl w:val="A2645C1E"/>
    <w:lvl w:ilvl="0" w:tplc="E1EA6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8E53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87AA6"/>
    <w:multiLevelType w:val="hybridMultilevel"/>
    <w:tmpl w:val="49F2450A"/>
    <w:lvl w:ilvl="0" w:tplc="451A7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54168F"/>
    <w:multiLevelType w:val="hybridMultilevel"/>
    <w:tmpl w:val="F12A7E70"/>
    <w:lvl w:ilvl="0" w:tplc="914A694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91626"/>
    <w:multiLevelType w:val="hybridMultilevel"/>
    <w:tmpl w:val="8A2AED4C"/>
    <w:lvl w:ilvl="0" w:tplc="ACD4E5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BE844A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66431F"/>
    <w:multiLevelType w:val="hybridMultilevel"/>
    <w:tmpl w:val="833276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921978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89D4A37"/>
    <w:multiLevelType w:val="hybridMultilevel"/>
    <w:tmpl w:val="B1442090"/>
    <w:lvl w:ilvl="0" w:tplc="ACD4E5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63405601"/>
    <w:multiLevelType w:val="hybridMultilevel"/>
    <w:tmpl w:val="13806928"/>
    <w:lvl w:ilvl="0" w:tplc="A0AA43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E0A7C4A">
      <w:start w:val="1"/>
      <w:numFmt w:val="decimal"/>
      <w:lvlText w:val="%3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097661"/>
    <w:multiLevelType w:val="hybridMultilevel"/>
    <w:tmpl w:val="54302F34"/>
    <w:lvl w:ilvl="0" w:tplc="451A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2E7623"/>
    <w:multiLevelType w:val="hybridMultilevel"/>
    <w:tmpl w:val="F8DA50A2"/>
    <w:lvl w:ilvl="0" w:tplc="F08CCA8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8A6AE9C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5819DE">
      <w:start w:val="5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6DC1613"/>
    <w:multiLevelType w:val="hybridMultilevel"/>
    <w:tmpl w:val="FB2A17DE"/>
    <w:lvl w:ilvl="0" w:tplc="914A694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86F442-45A0-4B72-9CC8-1731C428BBC7}"/>
    <w:docVar w:name="dgnword-eventsink" w:val="247983040"/>
  </w:docVars>
  <w:rsids>
    <w:rsidRoot w:val="0064334C"/>
    <w:rsid w:val="000027F7"/>
    <w:rsid w:val="00003ACE"/>
    <w:rsid w:val="00003CBA"/>
    <w:rsid w:val="00014281"/>
    <w:rsid w:val="000154B8"/>
    <w:rsid w:val="00016D35"/>
    <w:rsid w:val="000233C8"/>
    <w:rsid w:val="000248EB"/>
    <w:rsid w:val="00026A0C"/>
    <w:rsid w:val="000314F4"/>
    <w:rsid w:val="00033EB4"/>
    <w:rsid w:val="00041C7C"/>
    <w:rsid w:val="00043DDB"/>
    <w:rsid w:val="000462AA"/>
    <w:rsid w:val="00047E0F"/>
    <w:rsid w:val="00051812"/>
    <w:rsid w:val="0005655E"/>
    <w:rsid w:val="00062C22"/>
    <w:rsid w:val="00081939"/>
    <w:rsid w:val="00082F81"/>
    <w:rsid w:val="00083533"/>
    <w:rsid w:val="00086860"/>
    <w:rsid w:val="00090BB5"/>
    <w:rsid w:val="000945EA"/>
    <w:rsid w:val="000A2585"/>
    <w:rsid w:val="000B2365"/>
    <w:rsid w:val="000B2976"/>
    <w:rsid w:val="000D37B0"/>
    <w:rsid w:val="000D3BD4"/>
    <w:rsid w:val="000D4973"/>
    <w:rsid w:val="000E089A"/>
    <w:rsid w:val="000E3751"/>
    <w:rsid w:val="000E3A05"/>
    <w:rsid w:val="000E7EFE"/>
    <w:rsid w:val="000F21CB"/>
    <w:rsid w:val="000F3EA8"/>
    <w:rsid w:val="000F4776"/>
    <w:rsid w:val="000F669F"/>
    <w:rsid w:val="001026C0"/>
    <w:rsid w:val="00107631"/>
    <w:rsid w:val="00111688"/>
    <w:rsid w:val="00112249"/>
    <w:rsid w:val="00115A99"/>
    <w:rsid w:val="00116764"/>
    <w:rsid w:val="00116A6B"/>
    <w:rsid w:val="001172A8"/>
    <w:rsid w:val="001206B2"/>
    <w:rsid w:val="00123AEF"/>
    <w:rsid w:val="00132319"/>
    <w:rsid w:val="001323CC"/>
    <w:rsid w:val="00142726"/>
    <w:rsid w:val="00145204"/>
    <w:rsid w:val="00151A32"/>
    <w:rsid w:val="00152F28"/>
    <w:rsid w:val="0016140F"/>
    <w:rsid w:val="00161A19"/>
    <w:rsid w:val="00161CCA"/>
    <w:rsid w:val="00162EF5"/>
    <w:rsid w:val="00163372"/>
    <w:rsid w:val="0017072B"/>
    <w:rsid w:val="001713FB"/>
    <w:rsid w:val="00173345"/>
    <w:rsid w:val="0017613A"/>
    <w:rsid w:val="00176C45"/>
    <w:rsid w:val="001802A1"/>
    <w:rsid w:val="001807CC"/>
    <w:rsid w:val="00180819"/>
    <w:rsid w:val="0018221D"/>
    <w:rsid w:val="00183DCE"/>
    <w:rsid w:val="001924E6"/>
    <w:rsid w:val="001A7BEC"/>
    <w:rsid w:val="001C71C6"/>
    <w:rsid w:val="001D2681"/>
    <w:rsid w:val="001D5959"/>
    <w:rsid w:val="001D63B7"/>
    <w:rsid w:val="001D68FC"/>
    <w:rsid w:val="001D7D16"/>
    <w:rsid w:val="001E4E1B"/>
    <w:rsid w:val="001F0D47"/>
    <w:rsid w:val="002043BA"/>
    <w:rsid w:val="0021228D"/>
    <w:rsid w:val="002126E5"/>
    <w:rsid w:val="002131FF"/>
    <w:rsid w:val="00214FC8"/>
    <w:rsid w:val="00220753"/>
    <w:rsid w:val="00220A55"/>
    <w:rsid w:val="0022278B"/>
    <w:rsid w:val="00231D94"/>
    <w:rsid w:val="002335D4"/>
    <w:rsid w:val="00236BD2"/>
    <w:rsid w:val="00250A7F"/>
    <w:rsid w:val="00250CB9"/>
    <w:rsid w:val="00252BDA"/>
    <w:rsid w:val="00254CBD"/>
    <w:rsid w:val="00255067"/>
    <w:rsid w:val="0025764F"/>
    <w:rsid w:val="002650E5"/>
    <w:rsid w:val="002753AB"/>
    <w:rsid w:val="002756D3"/>
    <w:rsid w:val="00287B56"/>
    <w:rsid w:val="002945B4"/>
    <w:rsid w:val="00295053"/>
    <w:rsid w:val="002A0B47"/>
    <w:rsid w:val="002A15CB"/>
    <w:rsid w:val="002A3AE1"/>
    <w:rsid w:val="002A6EF1"/>
    <w:rsid w:val="002C5CDE"/>
    <w:rsid w:val="002C6AB1"/>
    <w:rsid w:val="002D0FB0"/>
    <w:rsid w:val="002D22AD"/>
    <w:rsid w:val="002D264B"/>
    <w:rsid w:val="002D49ED"/>
    <w:rsid w:val="002E4BDD"/>
    <w:rsid w:val="002E4D58"/>
    <w:rsid w:val="002E752E"/>
    <w:rsid w:val="002E7669"/>
    <w:rsid w:val="002F2516"/>
    <w:rsid w:val="002F3557"/>
    <w:rsid w:val="002F36FB"/>
    <w:rsid w:val="002F5B0A"/>
    <w:rsid w:val="003030D1"/>
    <w:rsid w:val="003037BC"/>
    <w:rsid w:val="00304BFB"/>
    <w:rsid w:val="00307350"/>
    <w:rsid w:val="00311AD7"/>
    <w:rsid w:val="00313CA6"/>
    <w:rsid w:val="00322F53"/>
    <w:rsid w:val="00330E65"/>
    <w:rsid w:val="00332DE6"/>
    <w:rsid w:val="0035053B"/>
    <w:rsid w:val="0035285F"/>
    <w:rsid w:val="003547C4"/>
    <w:rsid w:val="003739CA"/>
    <w:rsid w:val="00375E0E"/>
    <w:rsid w:val="00381ECE"/>
    <w:rsid w:val="00382731"/>
    <w:rsid w:val="00387004"/>
    <w:rsid w:val="00392282"/>
    <w:rsid w:val="00392986"/>
    <w:rsid w:val="003929FE"/>
    <w:rsid w:val="003956D0"/>
    <w:rsid w:val="00397515"/>
    <w:rsid w:val="003A0374"/>
    <w:rsid w:val="003A0420"/>
    <w:rsid w:val="003A0E76"/>
    <w:rsid w:val="003A1794"/>
    <w:rsid w:val="003A433E"/>
    <w:rsid w:val="003A725B"/>
    <w:rsid w:val="003B1B38"/>
    <w:rsid w:val="003B458B"/>
    <w:rsid w:val="003C1574"/>
    <w:rsid w:val="003D2EE9"/>
    <w:rsid w:val="003D4ECF"/>
    <w:rsid w:val="003D5E62"/>
    <w:rsid w:val="003E1CA3"/>
    <w:rsid w:val="003E3D7D"/>
    <w:rsid w:val="003E6F39"/>
    <w:rsid w:val="003F5160"/>
    <w:rsid w:val="003F715B"/>
    <w:rsid w:val="003F797A"/>
    <w:rsid w:val="004025F1"/>
    <w:rsid w:val="0040289B"/>
    <w:rsid w:val="004103B0"/>
    <w:rsid w:val="00410F67"/>
    <w:rsid w:val="0041401F"/>
    <w:rsid w:val="004166EE"/>
    <w:rsid w:val="004236A6"/>
    <w:rsid w:val="0042422B"/>
    <w:rsid w:val="004243C4"/>
    <w:rsid w:val="00427078"/>
    <w:rsid w:val="00430FD8"/>
    <w:rsid w:val="00431112"/>
    <w:rsid w:val="004347A1"/>
    <w:rsid w:val="00455D98"/>
    <w:rsid w:val="0045763A"/>
    <w:rsid w:val="00462A06"/>
    <w:rsid w:val="00462B92"/>
    <w:rsid w:val="00462D80"/>
    <w:rsid w:val="004649E2"/>
    <w:rsid w:val="00465B23"/>
    <w:rsid w:val="00467BF2"/>
    <w:rsid w:val="00472D44"/>
    <w:rsid w:val="00475505"/>
    <w:rsid w:val="00476116"/>
    <w:rsid w:val="00476E1A"/>
    <w:rsid w:val="00486D67"/>
    <w:rsid w:val="0049026A"/>
    <w:rsid w:val="00492222"/>
    <w:rsid w:val="0049512B"/>
    <w:rsid w:val="00496462"/>
    <w:rsid w:val="004976D9"/>
    <w:rsid w:val="004A0BAD"/>
    <w:rsid w:val="004A3824"/>
    <w:rsid w:val="004A3D75"/>
    <w:rsid w:val="004A4FC3"/>
    <w:rsid w:val="004A5D43"/>
    <w:rsid w:val="004A6BB2"/>
    <w:rsid w:val="004B5E7D"/>
    <w:rsid w:val="004C326D"/>
    <w:rsid w:val="004D0AFF"/>
    <w:rsid w:val="004D31B6"/>
    <w:rsid w:val="004D4E09"/>
    <w:rsid w:val="004E0087"/>
    <w:rsid w:val="004E12E8"/>
    <w:rsid w:val="004E2432"/>
    <w:rsid w:val="004E2C64"/>
    <w:rsid w:val="004E5CFA"/>
    <w:rsid w:val="004F02F7"/>
    <w:rsid w:val="004F1B37"/>
    <w:rsid w:val="004F4DE5"/>
    <w:rsid w:val="004F72B2"/>
    <w:rsid w:val="004F742E"/>
    <w:rsid w:val="00502269"/>
    <w:rsid w:val="005078E6"/>
    <w:rsid w:val="00507DF0"/>
    <w:rsid w:val="005102B7"/>
    <w:rsid w:val="0051271D"/>
    <w:rsid w:val="0051375F"/>
    <w:rsid w:val="00513B30"/>
    <w:rsid w:val="00517266"/>
    <w:rsid w:val="00521ED7"/>
    <w:rsid w:val="00522461"/>
    <w:rsid w:val="00522B76"/>
    <w:rsid w:val="00523563"/>
    <w:rsid w:val="00523EDF"/>
    <w:rsid w:val="00526DEF"/>
    <w:rsid w:val="00531AC6"/>
    <w:rsid w:val="00534B9F"/>
    <w:rsid w:val="005357C7"/>
    <w:rsid w:val="00537461"/>
    <w:rsid w:val="00537FBA"/>
    <w:rsid w:val="0054340F"/>
    <w:rsid w:val="005473AB"/>
    <w:rsid w:val="00547D9A"/>
    <w:rsid w:val="00550E7C"/>
    <w:rsid w:val="00553C1D"/>
    <w:rsid w:val="00554DB5"/>
    <w:rsid w:val="005552D1"/>
    <w:rsid w:val="005670C8"/>
    <w:rsid w:val="00570BFC"/>
    <w:rsid w:val="005746C8"/>
    <w:rsid w:val="00582E97"/>
    <w:rsid w:val="00587D00"/>
    <w:rsid w:val="00592891"/>
    <w:rsid w:val="005931C8"/>
    <w:rsid w:val="005937B3"/>
    <w:rsid w:val="005946A7"/>
    <w:rsid w:val="0059572D"/>
    <w:rsid w:val="005A10C0"/>
    <w:rsid w:val="005A1C6E"/>
    <w:rsid w:val="005A3235"/>
    <w:rsid w:val="005A44B5"/>
    <w:rsid w:val="005A5F12"/>
    <w:rsid w:val="005B0F77"/>
    <w:rsid w:val="005B16B9"/>
    <w:rsid w:val="005B1896"/>
    <w:rsid w:val="005B42D1"/>
    <w:rsid w:val="005B76B8"/>
    <w:rsid w:val="005C00FD"/>
    <w:rsid w:val="005C0549"/>
    <w:rsid w:val="005C12A8"/>
    <w:rsid w:val="005C1433"/>
    <w:rsid w:val="005C1E98"/>
    <w:rsid w:val="005C376F"/>
    <w:rsid w:val="005C390C"/>
    <w:rsid w:val="005C483F"/>
    <w:rsid w:val="005D7AAC"/>
    <w:rsid w:val="005E0174"/>
    <w:rsid w:val="005E3936"/>
    <w:rsid w:val="005E4EEC"/>
    <w:rsid w:val="005F55B5"/>
    <w:rsid w:val="005F5B2A"/>
    <w:rsid w:val="00602883"/>
    <w:rsid w:val="00614B6F"/>
    <w:rsid w:val="006255B1"/>
    <w:rsid w:val="00627E97"/>
    <w:rsid w:val="00630933"/>
    <w:rsid w:val="00641D6A"/>
    <w:rsid w:val="0064334C"/>
    <w:rsid w:val="006541F2"/>
    <w:rsid w:val="006563E3"/>
    <w:rsid w:val="00656748"/>
    <w:rsid w:val="00663FBE"/>
    <w:rsid w:val="006651DD"/>
    <w:rsid w:val="006660F0"/>
    <w:rsid w:val="00671195"/>
    <w:rsid w:val="00671733"/>
    <w:rsid w:val="00674BAE"/>
    <w:rsid w:val="006757FB"/>
    <w:rsid w:val="00683680"/>
    <w:rsid w:val="00683B06"/>
    <w:rsid w:val="00687AB6"/>
    <w:rsid w:val="00687EE6"/>
    <w:rsid w:val="00694853"/>
    <w:rsid w:val="006A2347"/>
    <w:rsid w:val="006A616E"/>
    <w:rsid w:val="006B021C"/>
    <w:rsid w:val="006B4EBB"/>
    <w:rsid w:val="006B5179"/>
    <w:rsid w:val="006C0F4A"/>
    <w:rsid w:val="006C1BFE"/>
    <w:rsid w:val="006C2267"/>
    <w:rsid w:val="006C270F"/>
    <w:rsid w:val="006C7E3E"/>
    <w:rsid w:val="006D1538"/>
    <w:rsid w:val="006D178B"/>
    <w:rsid w:val="006D298F"/>
    <w:rsid w:val="006D2AE9"/>
    <w:rsid w:val="006D5093"/>
    <w:rsid w:val="006D6AF4"/>
    <w:rsid w:val="006E0A96"/>
    <w:rsid w:val="006F07BB"/>
    <w:rsid w:val="006F3827"/>
    <w:rsid w:val="0070251A"/>
    <w:rsid w:val="007068D1"/>
    <w:rsid w:val="0070787A"/>
    <w:rsid w:val="00712BD7"/>
    <w:rsid w:val="0071310C"/>
    <w:rsid w:val="00713B5E"/>
    <w:rsid w:val="00721327"/>
    <w:rsid w:val="0072268D"/>
    <w:rsid w:val="0072356B"/>
    <w:rsid w:val="007242CB"/>
    <w:rsid w:val="007245BB"/>
    <w:rsid w:val="00727E94"/>
    <w:rsid w:val="00730938"/>
    <w:rsid w:val="00731487"/>
    <w:rsid w:val="00732811"/>
    <w:rsid w:val="00735731"/>
    <w:rsid w:val="00735A3D"/>
    <w:rsid w:val="00740AFD"/>
    <w:rsid w:val="007432BE"/>
    <w:rsid w:val="007436D1"/>
    <w:rsid w:val="0074480A"/>
    <w:rsid w:val="00744C13"/>
    <w:rsid w:val="00753D41"/>
    <w:rsid w:val="00755A1A"/>
    <w:rsid w:val="00757AC9"/>
    <w:rsid w:val="0076126C"/>
    <w:rsid w:val="007616CE"/>
    <w:rsid w:val="00763DA6"/>
    <w:rsid w:val="0076625C"/>
    <w:rsid w:val="00766B3F"/>
    <w:rsid w:val="00771F1F"/>
    <w:rsid w:val="00777274"/>
    <w:rsid w:val="00780404"/>
    <w:rsid w:val="00780713"/>
    <w:rsid w:val="00782B1F"/>
    <w:rsid w:val="007916A8"/>
    <w:rsid w:val="00791B78"/>
    <w:rsid w:val="00794727"/>
    <w:rsid w:val="00796749"/>
    <w:rsid w:val="007A3670"/>
    <w:rsid w:val="007A40CE"/>
    <w:rsid w:val="007A5266"/>
    <w:rsid w:val="007A757C"/>
    <w:rsid w:val="007C26E9"/>
    <w:rsid w:val="007C4A7B"/>
    <w:rsid w:val="007E2B75"/>
    <w:rsid w:val="007E3DE2"/>
    <w:rsid w:val="007E5552"/>
    <w:rsid w:val="007E6BB4"/>
    <w:rsid w:val="007F086B"/>
    <w:rsid w:val="007F3FFD"/>
    <w:rsid w:val="007F40AE"/>
    <w:rsid w:val="007F61DA"/>
    <w:rsid w:val="007F6733"/>
    <w:rsid w:val="008013BD"/>
    <w:rsid w:val="00801B6F"/>
    <w:rsid w:val="008040D4"/>
    <w:rsid w:val="00806775"/>
    <w:rsid w:val="00811D05"/>
    <w:rsid w:val="00812F52"/>
    <w:rsid w:val="00816370"/>
    <w:rsid w:val="00817384"/>
    <w:rsid w:val="00820A9C"/>
    <w:rsid w:val="008235DD"/>
    <w:rsid w:val="00827A4E"/>
    <w:rsid w:val="00830C96"/>
    <w:rsid w:val="00831FA2"/>
    <w:rsid w:val="00832D8C"/>
    <w:rsid w:val="0083423D"/>
    <w:rsid w:val="008349F3"/>
    <w:rsid w:val="00835070"/>
    <w:rsid w:val="00841E75"/>
    <w:rsid w:val="00843247"/>
    <w:rsid w:val="00852040"/>
    <w:rsid w:val="0085259C"/>
    <w:rsid w:val="008539A7"/>
    <w:rsid w:val="00856D88"/>
    <w:rsid w:val="00860AE4"/>
    <w:rsid w:val="008648FB"/>
    <w:rsid w:val="00865E2A"/>
    <w:rsid w:val="00872175"/>
    <w:rsid w:val="008724AB"/>
    <w:rsid w:val="0087262F"/>
    <w:rsid w:val="00876624"/>
    <w:rsid w:val="00877A1D"/>
    <w:rsid w:val="008905CC"/>
    <w:rsid w:val="008933FF"/>
    <w:rsid w:val="00894520"/>
    <w:rsid w:val="008A2A7C"/>
    <w:rsid w:val="008A36CB"/>
    <w:rsid w:val="008A3C1F"/>
    <w:rsid w:val="008A3EE9"/>
    <w:rsid w:val="008A64BF"/>
    <w:rsid w:val="008B0BF5"/>
    <w:rsid w:val="008B3BA6"/>
    <w:rsid w:val="008C06FD"/>
    <w:rsid w:val="008C4CC2"/>
    <w:rsid w:val="008C6F48"/>
    <w:rsid w:val="008D29FF"/>
    <w:rsid w:val="008E0531"/>
    <w:rsid w:val="008E07E9"/>
    <w:rsid w:val="008E561F"/>
    <w:rsid w:val="008F07F2"/>
    <w:rsid w:val="008F5969"/>
    <w:rsid w:val="008F5E65"/>
    <w:rsid w:val="008F5F87"/>
    <w:rsid w:val="0090341B"/>
    <w:rsid w:val="009040D9"/>
    <w:rsid w:val="00904320"/>
    <w:rsid w:val="009051DA"/>
    <w:rsid w:val="0090725C"/>
    <w:rsid w:val="00913D3D"/>
    <w:rsid w:val="009338D2"/>
    <w:rsid w:val="00933AD2"/>
    <w:rsid w:val="00934B5F"/>
    <w:rsid w:val="00936979"/>
    <w:rsid w:val="009510CF"/>
    <w:rsid w:val="00955D0C"/>
    <w:rsid w:val="00960FF4"/>
    <w:rsid w:val="00961DBD"/>
    <w:rsid w:val="00964A8C"/>
    <w:rsid w:val="00981DBD"/>
    <w:rsid w:val="009820F3"/>
    <w:rsid w:val="0098559D"/>
    <w:rsid w:val="0098729F"/>
    <w:rsid w:val="00992243"/>
    <w:rsid w:val="009956FF"/>
    <w:rsid w:val="009969DE"/>
    <w:rsid w:val="009A5DCE"/>
    <w:rsid w:val="009B62C4"/>
    <w:rsid w:val="009C7773"/>
    <w:rsid w:val="009D0F00"/>
    <w:rsid w:val="009D378B"/>
    <w:rsid w:val="009D39F1"/>
    <w:rsid w:val="009D49EC"/>
    <w:rsid w:val="009D4E7F"/>
    <w:rsid w:val="009D647C"/>
    <w:rsid w:val="009E7014"/>
    <w:rsid w:val="009F019A"/>
    <w:rsid w:val="009F020A"/>
    <w:rsid w:val="009F0432"/>
    <w:rsid w:val="009F3982"/>
    <w:rsid w:val="00A00A43"/>
    <w:rsid w:val="00A0202B"/>
    <w:rsid w:val="00A0204D"/>
    <w:rsid w:val="00A02BB3"/>
    <w:rsid w:val="00A05229"/>
    <w:rsid w:val="00A14BA0"/>
    <w:rsid w:val="00A15293"/>
    <w:rsid w:val="00A24C35"/>
    <w:rsid w:val="00A302D5"/>
    <w:rsid w:val="00A32D1D"/>
    <w:rsid w:val="00A32E76"/>
    <w:rsid w:val="00A32FFB"/>
    <w:rsid w:val="00A33ABF"/>
    <w:rsid w:val="00A35398"/>
    <w:rsid w:val="00A40992"/>
    <w:rsid w:val="00A47A28"/>
    <w:rsid w:val="00A51125"/>
    <w:rsid w:val="00A53D13"/>
    <w:rsid w:val="00A54455"/>
    <w:rsid w:val="00A70BF8"/>
    <w:rsid w:val="00A724CB"/>
    <w:rsid w:val="00A7453F"/>
    <w:rsid w:val="00A75698"/>
    <w:rsid w:val="00A77DBB"/>
    <w:rsid w:val="00A80740"/>
    <w:rsid w:val="00A82C34"/>
    <w:rsid w:val="00A84356"/>
    <w:rsid w:val="00A9021E"/>
    <w:rsid w:val="00A90D56"/>
    <w:rsid w:val="00A96560"/>
    <w:rsid w:val="00AB0FEB"/>
    <w:rsid w:val="00AB110E"/>
    <w:rsid w:val="00AB5332"/>
    <w:rsid w:val="00AB6352"/>
    <w:rsid w:val="00AC4651"/>
    <w:rsid w:val="00AD3448"/>
    <w:rsid w:val="00AD4219"/>
    <w:rsid w:val="00AE5DA0"/>
    <w:rsid w:val="00AE6E7F"/>
    <w:rsid w:val="00AF370F"/>
    <w:rsid w:val="00AF641B"/>
    <w:rsid w:val="00B00310"/>
    <w:rsid w:val="00B00603"/>
    <w:rsid w:val="00B00681"/>
    <w:rsid w:val="00B01B80"/>
    <w:rsid w:val="00B033E3"/>
    <w:rsid w:val="00B04D7B"/>
    <w:rsid w:val="00B10ED6"/>
    <w:rsid w:val="00B12E02"/>
    <w:rsid w:val="00B162F6"/>
    <w:rsid w:val="00B20622"/>
    <w:rsid w:val="00B22B3D"/>
    <w:rsid w:val="00B22C36"/>
    <w:rsid w:val="00B2351B"/>
    <w:rsid w:val="00B26618"/>
    <w:rsid w:val="00B31E5B"/>
    <w:rsid w:val="00B3237B"/>
    <w:rsid w:val="00B33A9E"/>
    <w:rsid w:val="00B342BF"/>
    <w:rsid w:val="00B401AA"/>
    <w:rsid w:val="00B412A0"/>
    <w:rsid w:val="00B44EF2"/>
    <w:rsid w:val="00B463C1"/>
    <w:rsid w:val="00B46B63"/>
    <w:rsid w:val="00B56DFD"/>
    <w:rsid w:val="00B60A69"/>
    <w:rsid w:val="00B6578B"/>
    <w:rsid w:val="00B65C45"/>
    <w:rsid w:val="00B67990"/>
    <w:rsid w:val="00B71A50"/>
    <w:rsid w:val="00B810E6"/>
    <w:rsid w:val="00B84614"/>
    <w:rsid w:val="00B85130"/>
    <w:rsid w:val="00B876A2"/>
    <w:rsid w:val="00B9550D"/>
    <w:rsid w:val="00BA2E50"/>
    <w:rsid w:val="00BA5762"/>
    <w:rsid w:val="00BB0FFE"/>
    <w:rsid w:val="00BB2D2F"/>
    <w:rsid w:val="00BB7428"/>
    <w:rsid w:val="00BB7740"/>
    <w:rsid w:val="00BC125F"/>
    <w:rsid w:val="00BC3064"/>
    <w:rsid w:val="00BC4ADD"/>
    <w:rsid w:val="00BC69B0"/>
    <w:rsid w:val="00BD13A4"/>
    <w:rsid w:val="00BD220C"/>
    <w:rsid w:val="00BD3174"/>
    <w:rsid w:val="00BD4220"/>
    <w:rsid w:val="00BE2C4E"/>
    <w:rsid w:val="00BE3203"/>
    <w:rsid w:val="00BE437F"/>
    <w:rsid w:val="00BE61AB"/>
    <w:rsid w:val="00BE6DC8"/>
    <w:rsid w:val="00BF46D0"/>
    <w:rsid w:val="00BF7053"/>
    <w:rsid w:val="00C06A4F"/>
    <w:rsid w:val="00C15C55"/>
    <w:rsid w:val="00C21FF8"/>
    <w:rsid w:val="00C22FE5"/>
    <w:rsid w:val="00C241F7"/>
    <w:rsid w:val="00C26C46"/>
    <w:rsid w:val="00C3083D"/>
    <w:rsid w:val="00C310C7"/>
    <w:rsid w:val="00C31E03"/>
    <w:rsid w:val="00C340AF"/>
    <w:rsid w:val="00C34172"/>
    <w:rsid w:val="00C35BD4"/>
    <w:rsid w:val="00C36FBD"/>
    <w:rsid w:val="00C3702B"/>
    <w:rsid w:val="00C4181E"/>
    <w:rsid w:val="00C42F5D"/>
    <w:rsid w:val="00C44289"/>
    <w:rsid w:val="00C4524C"/>
    <w:rsid w:val="00C45C7D"/>
    <w:rsid w:val="00C51C8B"/>
    <w:rsid w:val="00C56100"/>
    <w:rsid w:val="00C57F9F"/>
    <w:rsid w:val="00C62F51"/>
    <w:rsid w:val="00C65537"/>
    <w:rsid w:val="00C67526"/>
    <w:rsid w:val="00C93C03"/>
    <w:rsid w:val="00C95E5D"/>
    <w:rsid w:val="00CA3D18"/>
    <w:rsid w:val="00CA6B73"/>
    <w:rsid w:val="00CB7D77"/>
    <w:rsid w:val="00CB7EDC"/>
    <w:rsid w:val="00CB7F7A"/>
    <w:rsid w:val="00CC25DD"/>
    <w:rsid w:val="00CC3A82"/>
    <w:rsid w:val="00CC4B34"/>
    <w:rsid w:val="00CD4B41"/>
    <w:rsid w:val="00CD4B8F"/>
    <w:rsid w:val="00CE1755"/>
    <w:rsid w:val="00CE536F"/>
    <w:rsid w:val="00CE74BD"/>
    <w:rsid w:val="00CF0804"/>
    <w:rsid w:val="00CF2034"/>
    <w:rsid w:val="00D00DD9"/>
    <w:rsid w:val="00D01D64"/>
    <w:rsid w:val="00D029B2"/>
    <w:rsid w:val="00D07635"/>
    <w:rsid w:val="00D11C20"/>
    <w:rsid w:val="00D12052"/>
    <w:rsid w:val="00D12930"/>
    <w:rsid w:val="00D153C3"/>
    <w:rsid w:val="00D2044E"/>
    <w:rsid w:val="00D2262D"/>
    <w:rsid w:val="00D31183"/>
    <w:rsid w:val="00D34064"/>
    <w:rsid w:val="00D35258"/>
    <w:rsid w:val="00D362E0"/>
    <w:rsid w:val="00D37548"/>
    <w:rsid w:val="00D37D20"/>
    <w:rsid w:val="00D43AF1"/>
    <w:rsid w:val="00D54AF6"/>
    <w:rsid w:val="00D606DC"/>
    <w:rsid w:val="00D61E4E"/>
    <w:rsid w:val="00D62A2D"/>
    <w:rsid w:val="00D67023"/>
    <w:rsid w:val="00D74924"/>
    <w:rsid w:val="00D76547"/>
    <w:rsid w:val="00D767B2"/>
    <w:rsid w:val="00D866AC"/>
    <w:rsid w:val="00D874F8"/>
    <w:rsid w:val="00D8789D"/>
    <w:rsid w:val="00D95F0C"/>
    <w:rsid w:val="00DA0C8A"/>
    <w:rsid w:val="00DA4538"/>
    <w:rsid w:val="00DA603D"/>
    <w:rsid w:val="00DB2F09"/>
    <w:rsid w:val="00DB554F"/>
    <w:rsid w:val="00DB7775"/>
    <w:rsid w:val="00DC136F"/>
    <w:rsid w:val="00DD0386"/>
    <w:rsid w:val="00DD1058"/>
    <w:rsid w:val="00DD2306"/>
    <w:rsid w:val="00DD4B65"/>
    <w:rsid w:val="00DE4E24"/>
    <w:rsid w:val="00DF1EF0"/>
    <w:rsid w:val="00DF389E"/>
    <w:rsid w:val="00DF3BE9"/>
    <w:rsid w:val="00DF5997"/>
    <w:rsid w:val="00DF751D"/>
    <w:rsid w:val="00E03638"/>
    <w:rsid w:val="00E121C0"/>
    <w:rsid w:val="00E13FCE"/>
    <w:rsid w:val="00E14062"/>
    <w:rsid w:val="00E15736"/>
    <w:rsid w:val="00E16B3B"/>
    <w:rsid w:val="00E2055C"/>
    <w:rsid w:val="00E30F19"/>
    <w:rsid w:val="00E427EC"/>
    <w:rsid w:val="00E434AC"/>
    <w:rsid w:val="00E43F5B"/>
    <w:rsid w:val="00E4562A"/>
    <w:rsid w:val="00E52FD3"/>
    <w:rsid w:val="00E60E95"/>
    <w:rsid w:val="00E70564"/>
    <w:rsid w:val="00E72AB0"/>
    <w:rsid w:val="00E74730"/>
    <w:rsid w:val="00E80559"/>
    <w:rsid w:val="00E814E9"/>
    <w:rsid w:val="00E95D1E"/>
    <w:rsid w:val="00E9718F"/>
    <w:rsid w:val="00E97B95"/>
    <w:rsid w:val="00EA03D9"/>
    <w:rsid w:val="00EA2EF9"/>
    <w:rsid w:val="00EA3B7C"/>
    <w:rsid w:val="00EB078C"/>
    <w:rsid w:val="00EB1B8D"/>
    <w:rsid w:val="00EB2A7D"/>
    <w:rsid w:val="00EB6025"/>
    <w:rsid w:val="00EC1347"/>
    <w:rsid w:val="00EC78A7"/>
    <w:rsid w:val="00ED014E"/>
    <w:rsid w:val="00ED37C4"/>
    <w:rsid w:val="00ED3B03"/>
    <w:rsid w:val="00ED5D6C"/>
    <w:rsid w:val="00ED6763"/>
    <w:rsid w:val="00ED6E73"/>
    <w:rsid w:val="00EE3E7F"/>
    <w:rsid w:val="00EE4E3B"/>
    <w:rsid w:val="00EE525F"/>
    <w:rsid w:val="00EF4855"/>
    <w:rsid w:val="00F02120"/>
    <w:rsid w:val="00F050CF"/>
    <w:rsid w:val="00F13BEF"/>
    <w:rsid w:val="00F222D7"/>
    <w:rsid w:val="00F22AEF"/>
    <w:rsid w:val="00F320E9"/>
    <w:rsid w:val="00F33CD7"/>
    <w:rsid w:val="00F376C9"/>
    <w:rsid w:val="00F40E36"/>
    <w:rsid w:val="00F4108E"/>
    <w:rsid w:val="00F41B1A"/>
    <w:rsid w:val="00F43A10"/>
    <w:rsid w:val="00F44513"/>
    <w:rsid w:val="00F44DC5"/>
    <w:rsid w:val="00F570A2"/>
    <w:rsid w:val="00F6124C"/>
    <w:rsid w:val="00F618A2"/>
    <w:rsid w:val="00F6237B"/>
    <w:rsid w:val="00F71589"/>
    <w:rsid w:val="00F72985"/>
    <w:rsid w:val="00F74744"/>
    <w:rsid w:val="00F74A0E"/>
    <w:rsid w:val="00F77D14"/>
    <w:rsid w:val="00F829DA"/>
    <w:rsid w:val="00F82B76"/>
    <w:rsid w:val="00F84EAF"/>
    <w:rsid w:val="00F85D61"/>
    <w:rsid w:val="00F9077D"/>
    <w:rsid w:val="00F90B4A"/>
    <w:rsid w:val="00F92ACC"/>
    <w:rsid w:val="00FA3171"/>
    <w:rsid w:val="00FB3332"/>
    <w:rsid w:val="00FB38C6"/>
    <w:rsid w:val="00FB4065"/>
    <w:rsid w:val="00FB50D1"/>
    <w:rsid w:val="00FB5E49"/>
    <w:rsid w:val="00FC103D"/>
    <w:rsid w:val="00FC2E52"/>
    <w:rsid w:val="00FD4581"/>
    <w:rsid w:val="00FE03B6"/>
    <w:rsid w:val="00FE3608"/>
    <w:rsid w:val="00FE7752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A218CB7"/>
  <w15:chartTrackingRefBased/>
  <w15:docId w15:val="{7F45EB03-3080-427F-B255-AD5B6523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40"/>
      <w:outlineLvl w:val="1"/>
    </w:pPr>
    <w:rPr>
      <w:rFonts w:eastAsia="SimSu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/>
      <w:sz w:val="16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/>
      <w:contextualSpacing/>
    </w:pPr>
    <w:rPr>
      <w:rFonts w:eastAsia="SimSu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Pr>
      <w:rFonts w:ascii="Cambria" w:eastAsia="SimSun" w:hAnsi="Cambria"/>
      <w:color w:val="17365D"/>
      <w:spacing w:val="5"/>
      <w:kern w:val="28"/>
      <w:sz w:val="52"/>
      <w:lang w:val="es-ES" w:eastAsia="es-ES_tradnl"/>
    </w:rPr>
  </w:style>
  <w:style w:type="character" w:customStyle="1" w:styleId="Heading1Char">
    <w:name w:val="Heading 1 Char"/>
    <w:link w:val="Heading1"/>
    <w:locked/>
    <w:rPr>
      <w:rFonts w:ascii="Cambria" w:eastAsia="SimSun" w:hAnsi="Cambria"/>
      <w:b/>
      <w:color w:val="365F91"/>
      <w:sz w:val="28"/>
      <w:lang w:val="es-ES" w:eastAsia="es-ES_tradnl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Cambria" w:eastAsia="Times New Roman" w:hAnsi="Cambria"/>
      <w:sz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Cambria" w:eastAsia="Times New Roman" w:hAnsi="Cambria"/>
      <w:b/>
      <w:sz w:val="20"/>
      <w:lang w:val="es-ES" w:eastAsia="es-ES_tradn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character" w:styleId="IntenseEmphasis">
    <w:name w:val="Intense Emphasis"/>
    <w:qFormat/>
    <w:rPr>
      <w:b/>
      <w:i/>
      <w:color w:val="4F81BD"/>
    </w:rPr>
  </w:style>
  <w:style w:type="paragraph" w:styleId="FootnoteText">
    <w:name w:val="footnote text"/>
    <w:basedOn w:val="Normal"/>
    <w:link w:val="FootnoteTextChar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locked/>
    <w:rPr>
      <w:sz w:val="20"/>
      <w:lang w:val="es-ES" w:eastAsia="x-none"/>
    </w:rPr>
  </w:style>
  <w:style w:type="character" w:styleId="FootnoteReference">
    <w:name w:val="footnote reference"/>
    <w:rPr>
      <w:vertAlign w:val="superscript"/>
    </w:rPr>
  </w:style>
  <w:style w:type="table" w:styleId="LightShading-Accent5">
    <w:name w:val="Light Shading Accent 5"/>
    <w:rPr>
      <w:color w:val="31849B"/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rPr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rPr>
      <w:lang w:val="es-E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Heading1"/>
    <w:next w:val="Normal"/>
    <w:qFormat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pPr>
      <w:spacing w:after="100" w:line="276" w:lineRule="auto"/>
      <w:ind w:left="220"/>
    </w:pPr>
    <w:rPr>
      <w:rFonts w:ascii="Calibri" w:eastAsia="SimSun" w:hAnsi="Calibr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pPr>
      <w:spacing w:after="100" w:line="276" w:lineRule="auto"/>
      <w:ind w:left="440"/>
    </w:pPr>
    <w:rPr>
      <w:rFonts w:ascii="Calibri" w:eastAsia="SimSun" w:hAnsi="Calibri"/>
      <w:sz w:val="22"/>
      <w:szCs w:val="22"/>
      <w:lang w:eastAsia="ja-JP"/>
    </w:rPr>
  </w:style>
  <w:style w:type="character" w:styleId="PlaceholderText">
    <w:name w:val="Placeholder Text"/>
    <w:semiHidden/>
    <w:rPr>
      <w:color w:val="80808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160"/>
    </w:pPr>
    <w:rPr>
      <w:rFonts w:ascii="Calibri" w:eastAsia="SimSu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locked/>
    <w:rPr>
      <w:rFonts w:eastAsia="SimSun"/>
      <w:color w:val="5A5A5A"/>
      <w:spacing w:val="15"/>
      <w:lang w:val="es-ES" w:eastAsia="es-ES_tradnl"/>
    </w:rPr>
  </w:style>
  <w:style w:type="character" w:customStyle="1" w:styleId="Heading2Char">
    <w:name w:val="Heading 2 Char"/>
    <w:link w:val="Heading2"/>
    <w:semiHidden/>
    <w:locked/>
    <w:rPr>
      <w:rFonts w:ascii="Cambria" w:eastAsia="SimSun" w:hAnsi="Cambria"/>
      <w:color w:val="365F91"/>
      <w:sz w:val="26"/>
      <w:lang w:val="es-ES" w:eastAsia="es-ES_tradnl"/>
    </w:rPr>
  </w:style>
  <w:style w:type="paragraph" w:styleId="Revision">
    <w:name w:val="Revision"/>
    <w:hidden/>
    <w:semiHidden/>
    <w:rPr>
      <w:rFonts w:ascii="Cambria" w:hAnsi="Cambria"/>
      <w:sz w:val="24"/>
      <w:szCs w:val="24"/>
      <w:lang w:val="es-ES" w:eastAsia="es-ES_tradnl"/>
    </w:rPr>
  </w:style>
  <w:style w:type="paragraph" w:customStyle="1" w:styleId="msonormalcxsplastcxsplast">
    <w:name w:val="msonormalcxsplastcxsplast"/>
    <w:basedOn w:val="Normal"/>
    <w:rsid w:val="008E07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cxsplastcxsplast">
    <w:name w:val="msonormalcxsplastcxsplastcxsplast"/>
    <w:basedOn w:val="Normal"/>
    <w:rsid w:val="008E07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8E07E9"/>
  </w:style>
  <w:style w:type="paragraph" w:styleId="PlainText">
    <w:name w:val="Plain Text"/>
    <w:basedOn w:val="Normal"/>
    <w:link w:val="PlainTextChar"/>
    <w:uiPriority w:val="99"/>
    <w:unhideWhenUsed/>
    <w:rsid w:val="0042422B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2422B"/>
    <w:rPr>
      <w:rFonts w:eastAsia="Calibri"/>
      <w:sz w:val="22"/>
      <w:szCs w:val="21"/>
    </w:rPr>
  </w:style>
  <w:style w:type="paragraph" w:styleId="EndnoteText">
    <w:name w:val="endnote text"/>
    <w:basedOn w:val="Normal"/>
    <w:link w:val="EndnoteTextChar"/>
    <w:unhideWhenUsed/>
    <w:rsid w:val="003A0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  <w:lang w:eastAsia="en-US"/>
    </w:rPr>
  </w:style>
  <w:style w:type="character" w:customStyle="1" w:styleId="EndnoteTextChar">
    <w:name w:val="Endnote Text Char"/>
    <w:link w:val="EndnoteText"/>
    <w:rsid w:val="003A0E76"/>
    <w:rPr>
      <w:rFonts w:ascii="CG Times" w:eastAsia="Times New Roman" w:hAnsi="CG Times"/>
      <w:sz w:val="22"/>
      <w:lang w:val="es-ES"/>
    </w:rPr>
  </w:style>
  <w:style w:type="paragraph" w:customStyle="1" w:styleId="CPClassification">
    <w:name w:val="CP Classification"/>
    <w:basedOn w:val="Normal"/>
    <w:rsid w:val="00507DF0"/>
    <w:pPr>
      <w:tabs>
        <w:tab w:val="center" w:pos="2160"/>
        <w:tab w:val="left" w:pos="7200"/>
      </w:tabs>
      <w:ind w:left="7200" w:right="-360"/>
      <w:jc w:val="both"/>
    </w:pPr>
    <w:rPr>
      <w:rFonts w:ascii="Times New Roman" w:eastAsia="Times New Roman" w:hAnsi="Times New Roman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A884-F188-4A3C-9905-405B7B62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Santos, Ada</cp:lastModifiedBy>
  <cp:revision>2</cp:revision>
  <cp:lastPrinted>2021-03-11T00:26:00Z</cp:lastPrinted>
  <dcterms:created xsi:type="dcterms:W3CDTF">2021-06-24T20:35:00Z</dcterms:created>
  <dcterms:modified xsi:type="dcterms:W3CDTF">2021-06-24T22:56:00Z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SnidleGA@state.gov</vt:lpwstr>
  </property>
  <property fmtid="{D5CDD505-2E9C-101B-9397-08002B2CF9AE}" pid="5" name="MSIP_Label_1665d9ee-429a-4d5f-97cc-cfb56e044a6e_SetDate">
    <vt:lpwstr>2021-05-06T21:22:22.9263569Z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82d6660b-e097-4edf-a2c9-461d4de109de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